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70706">
        <w:trPr>
          <w:trHeight w:hRule="exact" w:val="1750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170706">
        <w:trPr>
          <w:trHeight w:hRule="exact" w:val="138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070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7070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706">
        <w:trPr>
          <w:trHeight w:hRule="exact" w:val="267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972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70706" w:rsidRDefault="00170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0706">
        <w:trPr>
          <w:trHeight w:hRule="exact" w:val="277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70706">
        <w:trPr>
          <w:trHeight w:hRule="exact" w:val="277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0706">
        <w:trPr>
          <w:trHeight w:hRule="exact" w:val="2217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0706">
        <w:trPr>
          <w:trHeight w:hRule="exact" w:val="1396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«Олигофренопедагогика (образование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недостаточностью)»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07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707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155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0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07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706" w:rsidRDefault="001707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70706">
        <w:trPr>
          <w:trHeight w:hRule="exact" w:val="124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70706">
        <w:trPr>
          <w:trHeight w:hRule="exact" w:val="307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974"/>
        </w:trPr>
        <w:tc>
          <w:tcPr>
            <w:tcW w:w="143" w:type="dxa"/>
          </w:tcPr>
          <w:p w:rsidR="00170706" w:rsidRDefault="00170706"/>
        </w:tc>
        <w:tc>
          <w:tcPr>
            <w:tcW w:w="285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1419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1277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  <w:tc>
          <w:tcPr>
            <w:tcW w:w="2836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143" w:type="dxa"/>
          </w:tcPr>
          <w:p w:rsidR="00170706" w:rsidRDefault="001707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0706">
        <w:trPr>
          <w:trHeight w:hRule="exact" w:val="138"/>
        </w:trPr>
        <w:tc>
          <w:tcPr>
            <w:tcW w:w="143" w:type="dxa"/>
          </w:tcPr>
          <w:p w:rsidR="00170706" w:rsidRDefault="001707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1666"/>
        </w:trPr>
        <w:tc>
          <w:tcPr>
            <w:tcW w:w="143" w:type="dxa"/>
          </w:tcPr>
          <w:p w:rsidR="00170706" w:rsidRDefault="001707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170706" w:rsidRDefault="00170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170706" w:rsidRDefault="00170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7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/Котлярова Т.С./</w:t>
            </w:r>
          </w:p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1707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706">
        <w:trPr>
          <w:trHeight w:hRule="exact" w:val="555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07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ЧУОО ВО «Омская гуманитарная академия» (далее – Академия; ОмГА):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утвержденным приказом ректора от 28.08.2017 №37;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статочностью)»; форма обучения – очная на 2024-2025 учебный год, утвержденным приказом ректора от 25.03.2024 № 34;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и сопровождение индивидуальных образовательных мартрутов детей с ограниченными возможностями здоровья» в течение 2024-2025 учебного года: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0706">
        <w:trPr>
          <w:trHeight w:hRule="exact" w:val="138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К.М.09.02 «Проектирование и сопровождение индивидуальных образовательных мартрутов детей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здоровья».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0706">
        <w:trPr>
          <w:trHeight w:hRule="exact" w:val="138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 в формировании компетенций выпускников соотнесенные с индикаторами достижения компетенций.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07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провести под руководством преподавателя исследование научной проблемы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осваиваемого научного знания, подготовить и представить квалификационную работу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170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знать способы сбора,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интерпретации экспериментальных данных</w:t>
            </w:r>
          </w:p>
        </w:tc>
      </w:tr>
      <w:tr w:rsidR="00170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требования  к  написанию  и  оформлению научных текстов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определять научную проблему в рамках темы квалификационной работы; определять методы теоретического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 исследования научной проблемы</w:t>
            </w:r>
          </w:p>
        </w:tc>
      </w:tr>
      <w:tr w:rsidR="00170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планировать  и  проводить  экспериментальное исследование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проблемы и экспериментальным путем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170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ПК-6.9 владеть  умением  создавать  и  оформлять  связный научный текст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интерпретации,    обобщения  и представления экспериментальных данных.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707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ПК-7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17070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уметь консультировать педагогов, родителей (законных представителей) и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17070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17070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маршрутов детей с ограниченными возможностями здоровья</w:t>
            </w:r>
          </w:p>
        </w:tc>
      </w:tr>
      <w:tr w:rsidR="00170706">
        <w:trPr>
          <w:trHeight w:hRule="exact" w:val="416"/>
        </w:trPr>
        <w:tc>
          <w:tcPr>
            <w:tcW w:w="3970" w:type="dxa"/>
          </w:tcPr>
          <w:p w:rsidR="00170706" w:rsidRDefault="00170706"/>
        </w:tc>
        <w:tc>
          <w:tcPr>
            <w:tcW w:w="4679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70706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К.М.09.02 «Проектирование и сопровождение индивидуальных образовательных мартрутов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70706">
        <w:trPr>
          <w:trHeight w:hRule="exact" w:val="138"/>
        </w:trPr>
        <w:tc>
          <w:tcPr>
            <w:tcW w:w="3970" w:type="dxa"/>
          </w:tcPr>
          <w:p w:rsidR="00170706" w:rsidRDefault="00170706"/>
        </w:tc>
        <w:tc>
          <w:tcPr>
            <w:tcW w:w="4679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707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170706"/>
        </w:tc>
      </w:tr>
      <w:tr w:rsidR="001707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170706"/>
        </w:tc>
      </w:tr>
      <w:tr w:rsidR="0017070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"Организация учебно- исследовательской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работы в области олигофренопедагогики"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"Методы психологической диагностики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нарушений развития у детей"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</w:rPr>
              <w:t>зводственная практика (педагогическая)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170706" w:rsidRDefault="00597E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170706">
        <w:trPr>
          <w:trHeight w:hRule="exact" w:val="138"/>
        </w:trPr>
        <w:tc>
          <w:tcPr>
            <w:tcW w:w="3970" w:type="dxa"/>
          </w:tcPr>
          <w:p w:rsidR="00170706" w:rsidRDefault="00170706"/>
        </w:tc>
        <w:tc>
          <w:tcPr>
            <w:tcW w:w="4679" w:type="dxa"/>
          </w:tcPr>
          <w:p w:rsidR="00170706" w:rsidRDefault="00170706"/>
        </w:tc>
        <w:tc>
          <w:tcPr>
            <w:tcW w:w="993" w:type="dxa"/>
          </w:tcPr>
          <w:p w:rsidR="00170706" w:rsidRDefault="00170706"/>
        </w:tc>
      </w:tr>
      <w:tr w:rsidR="00170706">
        <w:trPr>
          <w:trHeight w:hRule="exact" w:val="34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7070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0706">
        <w:trPr>
          <w:trHeight w:hRule="exact" w:val="138"/>
        </w:trPr>
        <w:tc>
          <w:tcPr>
            <w:tcW w:w="5671" w:type="dxa"/>
          </w:tcPr>
          <w:p w:rsidR="00170706" w:rsidRDefault="00170706"/>
        </w:tc>
        <w:tc>
          <w:tcPr>
            <w:tcW w:w="1702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135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706">
        <w:trPr>
          <w:trHeight w:hRule="exact" w:val="416"/>
        </w:trPr>
        <w:tc>
          <w:tcPr>
            <w:tcW w:w="5671" w:type="dxa"/>
          </w:tcPr>
          <w:p w:rsidR="00170706" w:rsidRDefault="00170706"/>
        </w:tc>
        <w:tc>
          <w:tcPr>
            <w:tcW w:w="1702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135" w:type="dxa"/>
          </w:tcPr>
          <w:p w:rsidR="00170706" w:rsidRDefault="00170706"/>
        </w:tc>
      </w:tr>
      <w:tr w:rsidR="001707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70706">
        <w:trPr>
          <w:trHeight w:hRule="exact" w:val="277"/>
        </w:trPr>
        <w:tc>
          <w:tcPr>
            <w:tcW w:w="5671" w:type="dxa"/>
          </w:tcPr>
          <w:p w:rsidR="00170706" w:rsidRDefault="00170706"/>
        </w:tc>
        <w:tc>
          <w:tcPr>
            <w:tcW w:w="1702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135" w:type="dxa"/>
          </w:tcPr>
          <w:p w:rsidR="00170706" w:rsidRDefault="00170706"/>
        </w:tc>
      </w:tr>
      <w:tr w:rsidR="001707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170706" w:rsidRDefault="00170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0706">
        <w:trPr>
          <w:trHeight w:hRule="exact" w:val="416"/>
        </w:trPr>
        <w:tc>
          <w:tcPr>
            <w:tcW w:w="5671" w:type="dxa"/>
          </w:tcPr>
          <w:p w:rsidR="00170706" w:rsidRDefault="00170706"/>
        </w:tc>
        <w:tc>
          <w:tcPr>
            <w:tcW w:w="1702" w:type="dxa"/>
          </w:tcPr>
          <w:p w:rsidR="00170706" w:rsidRDefault="00170706"/>
        </w:tc>
        <w:tc>
          <w:tcPr>
            <w:tcW w:w="426" w:type="dxa"/>
          </w:tcPr>
          <w:p w:rsidR="00170706" w:rsidRDefault="00170706"/>
        </w:tc>
        <w:tc>
          <w:tcPr>
            <w:tcW w:w="710" w:type="dxa"/>
          </w:tcPr>
          <w:p w:rsidR="00170706" w:rsidRDefault="00170706"/>
        </w:tc>
        <w:tc>
          <w:tcPr>
            <w:tcW w:w="1135" w:type="dxa"/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0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0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0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образовательных организаций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инвалидов и лиц с ограниченными возможностями здоровья: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Понятие и порядок признания лица инвалидом.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0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0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7070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Севастополя и о внесении изменений в Федеральный закон «Об образовании в Российской Федерации»: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06.04.2021 № 245,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0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07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Психолого-педагогическая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детей с задержками в развитии</w:t>
            </w:r>
          </w:p>
        </w:tc>
      </w:tr>
      <w:tr w:rsidR="001707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 интеллекта, задержкой психического развития, нарушениями слуха, зрения, речи, двигательного аппарата, аутизмом. Дети со сложной структурой дефекта.</w:t>
            </w:r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1707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взаимодейтсвия с семьей в воспитании ребенка с психическими и физическими нарушениями.</w:t>
            </w:r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Помощь и правовая защита лиц с ограниченными возможностями здоровья</w:t>
            </w:r>
          </w:p>
        </w:tc>
      </w:tr>
      <w:tr w:rsidR="001707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специального образования. ранняя комплексная помощь. Правовая защита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170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0706">
        <w:trPr>
          <w:trHeight w:hRule="exact" w:val="14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стол: "Дети с ограниченными возможностями здоровья - особенности и возможности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функционирования в условиях современного общества"</w:t>
            </w:r>
          </w:p>
        </w:tc>
      </w:tr>
      <w:tr w:rsidR="001707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706">
        <w:trPr>
          <w:trHeight w:hRule="exact" w:val="14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образовательный маршрут при работе с детьми с ОВЗ.</w:t>
            </w:r>
          </w:p>
        </w:tc>
      </w:tr>
      <w:tr w:rsidR="001707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706">
        <w:trPr>
          <w:trHeight w:hRule="exact" w:val="14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образовательных организаций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обучению инвалидов и лиц с ограниченными возможностями здоровья: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основы.</w:t>
            </w:r>
          </w:p>
        </w:tc>
      </w:tr>
      <w:tr w:rsidR="001707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0706">
        <w:trPr>
          <w:trHeight w:hRule="exact" w:val="14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стол: Понятие и порядок признания лица инвалидом.</w:t>
            </w:r>
          </w:p>
          <w:p w:rsidR="00170706" w:rsidRDefault="00597E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равных возможностей для инвалидов.</w:t>
            </w:r>
          </w:p>
        </w:tc>
      </w:tr>
      <w:tr w:rsidR="001707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0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>
            <w:pPr>
              <w:spacing w:after="0" w:line="240" w:lineRule="auto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070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2024.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утвержденное приказом ректора от 28.08.2017 №37.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Студенческого совета ОмГА от 29.08.2016 (протокол заседания № 1), утвержденное приказом ректора от 01.09.2016 № 43в.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28.08.2017 №37.</w:t>
            </w:r>
          </w:p>
        </w:tc>
      </w:tr>
      <w:tr w:rsidR="00170706">
        <w:trPr>
          <w:trHeight w:hRule="exact" w:val="138"/>
        </w:trPr>
        <w:tc>
          <w:tcPr>
            <w:tcW w:w="285" w:type="dxa"/>
          </w:tcPr>
          <w:p w:rsidR="00170706" w:rsidRDefault="00170706"/>
        </w:tc>
        <w:tc>
          <w:tcPr>
            <w:tcW w:w="9356" w:type="dxa"/>
          </w:tcPr>
          <w:p w:rsidR="00170706" w:rsidRDefault="00170706"/>
        </w:tc>
      </w:tr>
      <w:tr w:rsidR="00170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07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170706">
        <w:trPr>
          <w:trHeight w:hRule="exact" w:val="277"/>
        </w:trPr>
        <w:tc>
          <w:tcPr>
            <w:tcW w:w="285" w:type="dxa"/>
          </w:tcPr>
          <w:p w:rsidR="00170706" w:rsidRDefault="001707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07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Жебровская,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Семыгина,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Файншмидт,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978-5-9925-1412-4.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http://www.iprbookshop.ru/89264.html</w:t>
              </w:r>
            </w:hyperlink>
            <w:r>
              <w:t xml:space="preserve"> </w:t>
            </w:r>
          </w:p>
        </w:tc>
      </w:tr>
      <w:tr w:rsidR="00170706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170706"/>
        </w:tc>
      </w:tr>
      <w:tr w:rsidR="001707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Психомоторика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Психомоторика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978-5-88210-960-7.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http://www.iprbookshop.ru/102768.html</w:t>
              </w:r>
            </w:hyperlink>
            <w:r>
              <w:t xml:space="preserve"> 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0706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0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17070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0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07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распространяемый офисный пакет с открытым исходным кодом LibreOffice 6.0.3.2 Stable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70706" w:rsidRDefault="001707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образовательных стандартов высшего</w:t>
            </w:r>
          </w:p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70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70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0706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ающая на платформе LMS Moodle, обеспечивает: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раммах;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электронного обучения, дистанционных образовательных технологий;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логии: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учебных вопросов.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70706">
        <w:trPr>
          <w:trHeight w:hRule="exact" w:val="277"/>
        </w:trPr>
        <w:tc>
          <w:tcPr>
            <w:tcW w:w="9640" w:type="dxa"/>
          </w:tcPr>
          <w:p w:rsidR="00170706" w:rsidRDefault="00170706"/>
        </w:tc>
      </w:tr>
      <w:tr w:rsidR="00170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070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системы «Консультант плюс», «Гарант»; электронно-библиотечные системы «IPRbooks» и «ЭБС ЮРАЙТ».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</w:t>
            </w:r>
          </w:p>
        </w:tc>
      </w:tr>
    </w:tbl>
    <w:p w:rsidR="00170706" w:rsidRDefault="00597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070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к обучению дошкольников.</w:t>
            </w:r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0706" w:rsidRDefault="00597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70706" w:rsidRDefault="00170706"/>
    <w:sectPr w:rsidR="001707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706"/>
    <w:rsid w:val="001F0BC7"/>
    <w:rsid w:val="00597E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6279</Words>
  <Characters>35795</Characters>
  <Application>Microsoft Office Word</Application>
  <DocSecurity>0</DocSecurity>
  <Lines>298</Lines>
  <Paragraphs>83</Paragraphs>
  <ScaleCrop>false</ScaleCrop>
  <Company/>
  <LinksUpToDate>false</LinksUpToDate>
  <CharactersWithSpaces>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